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bidi w:val="0"/>
      </w:pPr>
      <w:r>
        <w:rPr>
          <w:rtl w:val="0"/>
        </w:rPr>
        <w:t>Alternatives North</w:t>
      </w:r>
    </w:p>
    <w:p>
      <w:pPr>
        <w:pStyle w:val="Subtitle"/>
        <w:bidi w:val="0"/>
      </w:pPr>
      <w:r>
        <w:rPr>
          <w:rtl w:val="0"/>
        </w:rPr>
        <w:t xml:space="preserve">Activities Report </w:t>
      </w:r>
    </w:p>
    <w:p>
      <w:pPr>
        <w:pStyle w:val="Subtitle"/>
        <w:bidi w:val="0"/>
      </w:pPr>
      <w:r>
        <w:rPr>
          <w:rtl w:val="0"/>
        </w:rPr>
        <w:t>2025-26 Annual General Meeting</w:t>
      </w:r>
    </w:p>
    <w:p>
      <w:pPr>
        <w:pStyle w:val="Default"/>
        <w:suppressAutoHyphens w:val="1"/>
        <w:spacing w:before="0" w:after="144" w:line="240" w:lineRule="auto"/>
        <w:jc w:val="left"/>
        <w:rPr>
          <w:rFonts w:ascii="Calibri" w:cs="Calibri" w:hAnsi="Calibri" w:eastAsia="Calibri"/>
          <w:sz w:val="22"/>
          <w:szCs w:val="22"/>
        </w:rPr>
      </w:pPr>
    </w:p>
    <w:p>
      <w:pPr>
        <w:pStyle w:val="Heading"/>
        <w:bidi w:val="0"/>
      </w:pPr>
      <w:r>
        <w:rPr>
          <w:rtl w:val="0"/>
        </w:rPr>
        <w:t>Introduction:</w:t>
      </w:r>
    </w:p>
    <w:p>
      <w:pPr>
        <w:pStyle w:val="Body"/>
        <w:bidi w:val="0"/>
      </w:pPr>
      <w:r>
        <w:rPr>
          <w:rtl w:val="0"/>
          <w:lang w:val="en-US"/>
        </w:rPr>
        <w:t>The 2025-26 fiscal year for Alternatives North was typical. There was certainly no shortage of issues for the organisation to be concerned about. Below are short summaries of some of the more significant matters we put effort into influencing. They are in no particular order.</w:t>
      </w:r>
    </w:p>
    <w:p>
      <w:pPr>
        <w:pStyle w:val="Default"/>
        <w:suppressAutoHyphens w:val="1"/>
        <w:spacing w:before="0" w:after="144" w:line="240" w:lineRule="auto"/>
        <w:jc w:val="left"/>
        <w:rPr>
          <w:rFonts w:ascii="Calibri" w:cs="Calibri" w:hAnsi="Calibri" w:eastAsia="Calibri"/>
          <w:sz w:val="22"/>
          <w:szCs w:val="22"/>
        </w:rPr>
      </w:pPr>
    </w:p>
    <w:p>
      <w:pPr>
        <w:pStyle w:val="Heading"/>
        <w:bidi w:val="0"/>
      </w:pPr>
      <w:r>
        <w:rPr>
          <w:rtl w:val="0"/>
          <w:lang w:val="en-US"/>
        </w:rPr>
        <w:t>Giant Mine:  Communicating with Future Generations</w:t>
      </w:r>
    </w:p>
    <w:p>
      <w:pPr>
        <w:pStyle w:val="Body"/>
        <w:bidi w:val="0"/>
      </w:pPr>
      <w:r>
        <w:rPr>
          <w:rtl w:val="0"/>
          <w:lang w:val="en-US"/>
        </w:rPr>
        <w:t>Part of our activities relating to Giant Mine concern the need to communicate the hazards and lessons of Giant Mine both now and into the far future.  We hosted our second (to be annual) evening of presentations as part of Ecology North</w:t>
      </w:r>
      <w:r>
        <w:rPr>
          <w:rtl w:val="1"/>
        </w:rPr>
        <w:t>’</w:t>
      </w:r>
      <w:r>
        <w:rPr>
          <w:rtl w:val="0"/>
          <w:lang w:val="en-US"/>
        </w:rPr>
        <w:t>s Earth Week in April 2025.  Ecology North advertised the event as part of their schedule of events, and AN also put in ads in the Yellowknifer and on Cabin Radio.</w:t>
      </w:r>
    </w:p>
    <w:p>
      <w:pPr>
        <w:pStyle w:val="Body"/>
        <w:bidi w:val="0"/>
        <w:rPr>
          <w:i w:val="1"/>
          <w:iCs w:val="1"/>
        </w:rPr>
      </w:pPr>
      <w:r>
        <w:rPr>
          <w:rtl w:val="0"/>
          <w:lang w:val="en-US"/>
        </w:rPr>
        <w:t>The April 2024 Earth Week event showed there was interest in Tim Edwards</w:t>
      </w:r>
      <w:r>
        <w:rPr>
          <w:rtl w:val="1"/>
        </w:rPr>
        <w:t xml:space="preserve">’ </w:t>
      </w:r>
      <w:r>
        <w:rPr>
          <w:rtl w:val="0"/>
          <w:lang w:val="en-US"/>
        </w:rPr>
        <w:t xml:space="preserve">look at involving the community in how we interact with the landscape at Giant post-remediation.  He updated the report </w:t>
      </w:r>
      <w:r>
        <w:rPr>
          <w:i w:val="1"/>
          <w:iCs w:val="1"/>
          <w:rtl w:val="0"/>
          <w:lang w:val="en-US"/>
        </w:rPr>
        <w:t>In Touch With The Land:</w:t>
      </w:r>
    </w:p>
    <w:p>
      <w:pPr>
        <w:pStyle w:val="Body"/>
        <w:bidi w:val="0"/>
      </w:pPr>
      <w:r>
        <w:rPr>
          <w:rtl w:val="0"/>
          <w:lang w:val="en-US"/>
        </w:rPr>
        <w:t>Exploring Opportunities for Landscape Design at the Post-Remediation Giant Mine Sit</w:t>
      </w:r>
      <w:r>
        <w:rPr>
          <w:rtl w:val="0"/>
          <w:lang w:val="en-US"/>
        </w:rPr>
        <w:t>e and presented it at the April 2025 Earth Week event.</w:t>
      </w:r>
    </w:p>
    <w:p>
      <w:pPr>
        <w:pStyle w:val="Body"/>
        <w:bidi w:val="0"/>
      </w:pPr>
      <w:r>
        <w:rPr>
          <w:rtl w:val="0"/>
          <w:lang w:val="en-US"/>
        </w:rPr>
        <w:t>The other presentations in 2025 were:</w:t>
      </w:r>
    </w:p>
    <w:p>
      <w:pPr>
        <w:pStyle w:val="Body 2"/>
        <w:numPr>
          <w:ilvl w:val="0"/>
          <w:numId w:val="2"/>
        </w:numPr>
        <w:spacing w:after="120"/>
        <w:rPr>
          <w:lang w:val="en-US"/>
        </w:rPr>
      </w:pPr>
      <w:r>
        <w:rPr>
          <w:rtl w:val="0"/>
          <w:lang w:val="en-US"/>
        </w:rPr>
        <w:t xml:space="preserve">The video, </w:t>
      </w:r>
      <w:r>
        <w:rPr>
          <w:i w:val="1"/>
          <w:iCs w:val="1"/>
          <w:rtl w:val="0"/>
          <w:lang w:val="en-US"/>
        </w:rPr>
        <w:t>The Copper People</w:t>
      </w:r>
      <w:r>
        <w:rPr>
          <w:rtl w:val="0"/>
          <w:lang w:val="en-US"/>
        </w:rPr>
        <w:t>, by Yellowknives Dene First Nation, was shown.  Jeff Rosnawski, the producer, provided some introductory remarks before showing the video, as he was unable to attend.</w:t>
      </w:r>
    </w:p>
    <w:p>
      <w:pPr>
        <w:pStyle w:val="Body 2"/>
        <w:numPr>
          <w:ilvl w:val="0"/>
          <w:numId w:val="2"/>
        </w:numPr>
        <w:spacing w:after="120"/>
      </w:pPr>
      <w:r>
        <w:rPr>
          <w:rtl w:val="0"/>
        </w:rPr>
        <w:t>Amber O</w:t>
      </w:r>
      <w:r>
        <w:rPr>
          <w:rtl w:val="1"/>
        </w:rPr>
        <w:t>’</w:t>
      </w:r>
      <w:r>
        <w:rPr>
          <w:rtl w:val="0"/>
          <w:lang w:val="en-US"/>
        </w:rPr>
        <w:t xml:space="preserve">Reilly, local poet and playwright, presented her poem </w:t>
      </w:r>
      <w:r>
        <w:rPr>
          <w:i w:val="1"/>
          <w:iCs w:val="1"/>
          <w:rtl w:val="0"/>
          <w:lang w:val="en-US"/>
        </w:rPr>
        <w:t>The Ghosts of Giant Mine.</w:t>
      </w:r>
    </w:p>
    <w:p>
      <w:pPr>
        <w:pStyle w:val="Body 2"/>
        <w:numPr>
          <w:ilvl w:val="0"/>
          <w:numId w:val="2"/>
        </w:numPr>
        <w:spacing w:after="120"/>
        <w:rPr>
          <w:lang w:val="en-US"/>
        </w:rPr>
      </w:pPr>
      <w:r>
        <w:rPr>
          <w:rtl w:val="0"/>
          <w:lang w:val="en-US"/>
        </w:rPr>
        <w:t>Marc Lange, a director of the Giant Mine Oversight Board, presented remotely. Marc described the past, present, and possible future of GMOB.</w:t>
      </w:r>
    </w:p>
    <w:p>
      <w:pPr>
        <w:pStyle w:val="Body 2"/>
        <w:numPr>
          <w:ilvl w:val="0"/>
          <w:numId w:val="2"/>
        </w:numPr>
        <w:spacing w:after="120"/>
        <w:rPr>
          <w:lang w:val="en-US"/>
        </w:rPr>
      </w:pPr>
      <w:r>
        <w:rPr>
          <w:rtl w:val="0"/>
          <w:lang w:val="en-US"/>
        </w:rPr>
        <w:t>Ken Hall presented in photos and words his upbringing at the Giant Mine townsite.  He and his family worked and lived there a total of 75 years.</w:t>
      </w:r>
    </w:p>
    <w:p>
      <w:pPr>
        <w:pStyle w:val="Body 2"/>
        <w:numPr>
          <w:ilvl w:val="0"/>
          <w:numId w:val="2"/>
        </w:numPr>
        <w:spacing w:after="120"/>
        <w:rPr>
          <w:lang w:val="en-US"/>
        </w:rPr>
      </w:pPr>
      <w:r>
        <w:rPr>
          <w:rtl w:val="0"/>
          <w:lang w:val="en-US"/>
        </w:rPr>
        <w:t>Dr. Mike Palmer, researcher with Aurora College, presented on the terrestrial and aquatic processes that influence the recovery of subarctic lakes impacted by mining pollution. His emphasis was on research ongoing in the vicinity of Giant.</w:t>
      </w:r>
    </w:p>
    <w:p>
      <w:pPr>
        <w:pStyle w:val="Body 2"/>
        <w:ind w:left="567" w:hanging="87"/>
      </w:pPr>
    </w:p>
    <w:p>
      <w:pPr>
        <w:pStyle w:val="Body"/>
        <w:bidi w:val="0"/>
      </w:pPr>
      <w:r>
        <w:rPr>
          <w:rtl w:val="0"/>
          <w:lang w:val="en-US"/>
        </w:rPr>
        <w:t xml:space="preserve">About 35 members of the public attended.  The variety of presentations was appreciated, and much discussion ensued. </w:t>
      </w:r>
    </w:p>
    <w:p>
      <w:pPr>
        <w:pStyle w:val="Body"/>
        <w:bidi w:val="0"/>
      </w:pPr>
      <w:r>
        <w:rPr>
          <w:rtl w:val="0"/>
          <w:lang w:val="en-US"/>
        </w:rPr>
        <w:t>As a follow-up to last year, we continued discussions with Laurie Sarkadi, author, about undertaking a short story or similar writing workshop.  Laurie came back with a proposal to have Richard Van Camp host a workshop related to horror story writing.  It was to be part of his upcoming book about Giant Mine.  This wasn</w:t>
      </w:r>
      <w:r>
        <w:rPr>
          <w:rtl w:val="1"/>
        </w:rPr>
        <w:t>’</w:t>
      </w:r>
      <w:r>
        <w:rPr>
          <w:rtl w:val="0"/>
          <w:lang w:val="en-US"/>
        </w:rPr>
        <w:t>t deemed a good fit by CIRNAC, so we partnered with Northern Quill Publishing to undertake a postcard writing project.</w:t>
      </w:r>
    </w:p>
    <w:p>
      <w:pPr>
        <w:pStyle w:val="Body"/>
        <w:spacing w:after="160"/>
      </w:pPr>
      <w:r>
        <w:rPr>
          <w:rtl w:val="0"/>
          <w:lang w:val="en-US"/>
        </w:rPr>
        <w:t>The project aimed to:</w:t>
      </w:r>
    </w:p>
    <w:p>
      <w:pPr>
        <w:pStyle w:val="Body 2"/>
        <w:numPr>
          <w:ilvl w:val="0"/>
          <w:numId w:val="4"/>
        </w:numPr>
        <w:spacing w:after="120"/>
        <w:rPr>
          <w:lang w:val="en-US"/>
        </w:rPr>
      </w:pPr>
      <w:r>
        <w:rPr>
          <w:rtl w:val="0"/>
          <w:lang w:val="en-US"/>
        </w:rPr>
        <w:t>Create an accessible and creative outlet for reflection on Giant Mine and its remediation</w:t>
      </w:r>
    </w:p>
    <w:p>
      <w:pPr>
        <w:pStyle w:val="Body 2"/>
        <w:numPr>
          <w:ilvl w:val="0"/>
          <w:numId w:val="4"/>
        </w:numPr>
        <w:spacing w:after="120"/>
        <w:rPr>
          <w:lang w:val="en-US"/>
        </w:rPr>
      </w:pPr>
      <w:r>
        <w:rPr>
          <w:rtl w:val="0"/>
          <w:lang w:val="en-US"/>
        </w:rPr>
        <w:t>Encourage intergenerational and community-based storytelling</w:t>
      </w:r>
    </w:p>
    <w:p>
      <w:pPr>
        <w:pStyle w:val="Body 2"/>
        <w:numPr>
          <w:ilvl w:val="0"/>
          <w:numId w:val="4"/>
        </w:numPr>
        <w:spacing w:after="120"/>
        <w:rPr>
          <w:lang w:val="en-US"/>
        </w:rPr>
      </w:pPr>
      <w:r>
        <w:rPr>
          <w:rtl w:val="0"/>
          <w:lang w:val="en-US"/>
        </w:rPr>
        <w:t>Gather diverse perspectives from residents, workers, Indigenous community members, youth, families, and others connected to the site</w:t>
      </w:r>
    </w:p>
    <w:p>
      <w:pPr>
        <w:pStyle w:val="Body 2"/>
        <w:numPr>
          <w:ilvl w:val="0"/>
          <w:numId w:val="4"/>
        </w:numPr>
        <w:spacing w:after="120"/>
        <w:rPr>
          <w:lang w:val="en-US"/>
        </w:rPr>
      </w:pPr>
      <w:r>
        <w:rPr>
          <w:rtl w:val="0"/>
          <w:lang w:val="en-US"/>
        </w:rPr>
        <w:t>Provide a respectful, trauma-informed space for participation</w:t>
      </w:r>
    </w:p>
    <w:p>
      <w:pPr>
        <w:pStyle w:val="Body 2"/>
        <w:numPr>
          <w:ilvl w:val="0"/>
          <w:numId w:val="4"/>
        </w:numPr>
        <w:spacing w:after="120"/>
        <w:rPr>
          <w:lang w:val="en-US"/>
        </w:rPr>
      </w:pPr>
      <w:r>
        <w:rPr>
          <w:rtl w:val="0"/>
          <w:lang w:val="en-US"/>
        </w:rPr>
        <w:t>Create opportunities for public engagement during Earth Week 2026</w:t>
      </w:r>
    </w:p>
    <w:p>
      <w:pPr>
        <w:pStyle w:val="Body"/>
        <w:spacing w:before="220"/>
      </w:pPr>
      <w:r>
        <w:rPr>
          <w:rtl w:val="0"/>
          <w:lang w:val="en-US"/>
        </w:rPr>
        <w:t>These goals were largely achieved through the successful launch, outreach efforts, public showcase, and collection of community stories.</w:t>
      </w:r>
    </w:p>
    <w:p>
      <w:pPr>
        <w:pStyle w:val="Default"/>
        <w:suppressAutoHyphens w:val="1"/>
        <w:spacing w:before="0" w:after="144" w:line="240" w:lineRule="auto"/>
        <w:jc w:val="left"/>
        <w:rPr>
          <w:rFonts w:ascii="Calibri" w:cs="Calibri" w:hAnsi="Calibri" w:eastAsia="Calibri"/>
          <w:sz w:val="22"/>
          <w:szCs w:val="22"/>
        </w:rPr>
      </w:pPr>
    </w:p>
    <w:p>
      <w:pPr>
        <w:pStyle w:val="Heading"/>
        <w:bidi w:val="0"/>
      </w:pPr>
      <w:r>
        <w:rPr>
          <w:rtl w:val="0"/>
          <w:lang w:val="en-US"/>
        </w:rPr>
        <w:t xml:space="preserve">Notes to the Future </w:t>
      </w:r>
      <w:r>
        <w:rPr>
          <w:rtl w:val="0"/>
        </w:rPr>
        <w:t xml:space="preserve">– </w:t>
      </w:r>
      <w:r>
        <w:rPr>
          <w:rtl w:val="0"/>
          <w:lang w:val="en-US"/>
        </w:rPr>
        <w:t>Giant Mine Postcard Project</w:t>
      </w:r>
    </w:p>
    <w:p>
      <w:pPr>
        <w:pStyle w:val="Body"/>
        <w:spacing w:after="160"/>
      </w:pPr>
      <w:r>
        <w:rPr>
          <w:rtl w:val="0"/>
          <w:lang w:val="en-US"/>
        </w:rPr>
        <w:t xml:space="preserve">The </w:t>
      </w:r>
      <w:r>
        <w:rPr>
          <w:i w:val="1"/>
          <w:iCs w:val="1"/>
          <w:rtl w:val="0"/>
          <w:lang w:val="en-US"/>
        </w:rPr>
        <w:t xml:space="preserve">Notes to the Future </w:t>
      </w:r>
      <w:r>
        <w:rPr>
          <w:i w:val="1"/>
          <w:iCs w:val="1"/>
          <w:rtl w:val="0"/>
        </w:rPr>
        <w:t xml:space="preserve">– </w:t>
      </w:r>
      <w:r>
        <w:rPr>
          <w:i w:val="1"/>
          <w:iCs w:val="1"/>
          <w:rtl w:val="0"/>
          <w:lang w:val="en-US"/>
        </w:rPr>
        <w:t>Giant Mine Postcard Project</w:t>
      </w:r>
      <w:r>
        <w:rPr>
          <w:rtl w:val="0"/>
          <w:lang w:val="en-US"/>
        </w:rPr>
        <w:t xml:space="preserve"> successfully launched on January 23, 2026, and closed on March 31</w:t>
      </w:r>
      <w:r>
        <w:rPr>
          <w:vertAlign w:val="superscript"/>
          <w:rtl w:val="0"/>
        </w:rPr>
        <w:t>st</w:t>
      </w:r>
      <w:r>
        <w:rPr>
          <w:rtl w:val="0"/>
          <w:lang w:val="en-US"/>
        </w:rPr>
        <w:t>.  This was a little later than first hoped, but still allowed time for good participation.  Northern Quill produced the submission infrastructure, namely:</w:t>
      </w:r>
    </w:p>
    <w:p>
      <w:pPr>
        <w:pStyle w:val="Body 2"/>
        <w:numPr>
          <w:ilvl w:val="0"/>
          <w:numId w:val="5"/>
        </w:numPr>
        <w:spacing w:after="120"/>
        <w:rPr>
          <w:lang w:val="en-US"/>
        </w:rPr>
      </w:pPr>
      <w:r>
        <w:rPr>
          <w:rtl w:val="0"/>
          <w:lang w:val="en-US"/>
        </w:rPr>
        <w:t>Google Form and digital submission system</w:t>
      </w:r>
    </w:p>
    <w:p>
      <w:pPr>
        <w:pStyle w:val="Body 2"/>
        <w:numPr>
          <w:ilvl w:val="0"/>
          <w:numId w:val="5"/>
        </w:numPr>
        <w:spacing w:after="120"/>
        <w:rPr>
          <w:lang w:val="en-US"/>
        </w:rPr>
      </w:pPr>
      <w:r>
        <w:rPr>
          <w:rtl w:val="0"/>
          <w:lang w:val="en-US"/>
        </w:rPr>
        <w:t>Participation guidelines</w:t>
      </w:r>
    </w:p>
    <w:p>
      <w:pPr>
        <w:pStyle w:val="Body 2"/>
        <w:numPr>
          <w:ilvl w:val="0"/>
          <w:numId w:val="5"/>
        </w:numPr>
        <w:spacing w:after="160"/>
      </w:pPr>
      <w:r>
        <w:rPr>
          <w:rtl w:val="0"/>
        </w:rPr>
        <w:t>Consent forms</w:t>
      </w:r>
    </w:p>
    <w:p>
      <w:pPr>
        <w:pStyle w:val="Body"/>
        <w:bidi w:val="0"/>
      </w:pPr>
      <w:r>
        <w:rPr>
          <w:rtl w:val="0"/>
          <w:lang w:val="en-US"/>
        </w:rPr>
        <w:t>Bruce Valpy deserves credit for getting the system up and running on the AN website.</w:t>
      </w:r>
    </w:p>
    <w:p>
      <w:pPr>
        <w:pStyle w:val="Body"/>
        <w:bidi w:val="0"/>
      </w:pPr>
      <w:r>
        <w:rPr>
          <w:rtl w:val="0"/>
          <w:lang w:val="en-US"/>
        </w:rPr>
        <w:t>Drop boxes for submissions were located at:  Baker Centre, GMOB office; YKDFN Ndilo office; YKDFN Chief Drygeese building, Dettah; NSMA office; Yellowknife Community Museum; St. Pat</w:t>
      </w:r>
      <w:r>
        <w:rPr>
          <w:rtl w:val="1"/>
        </w:rPr>
        <w:t>’</w:t>
      </w:r>
      <w:r>
        <w:rPr>
          <w:rtl w:val="0"/>
          <w:lang w:val="en-US"/>
        </w:rPr>
        <w:t>s high school; ESJF High school; Centennial library, Hay River; Fort Smith library; Gallery Building; Aurora College (Yellowknife); Yellowknife Public Library.</w:t>
      </w:r>
    </w:p>
    <w:p>
      <w:pPr>
        <w:pStyle w:val="Body"/>
        <w:bidi w:val="0"/>
      </w:pPr>
      <w:r>
        <w:rPr>
          <w:rtl w:val="0"/>
          <w:lang w:val="en-US"/>
        </w:rPr>
        <w:t>In addition to drop boxes, promotion of the event was done through:</w:t>
      </w:r>
    </w:p>
    <w:p>
      <w:pPr>
        <w:pStyle w:val="Body 2"/>
        <w:numPr>
          <w:ilvl w:val="0"/>
          <w:numId w:val="4"/>
        </w:numPr>
        <w:spacing w:after="120"/>
        <w:rPr>
          <w:lang w:val="en-US"/>
        </w:rPr>
      </w:pPr>
      <w:r>
        <w:rPr>
          <w:rtl w:val="0"/>
          <w:lang w:val="en-US"/>
        </w:rPr>
        <w:t>Posters (created by Northern Quill)</w:t>
      </w:r>
    </w:p>
    <w:p>
      <w:pPr>
        <w:pStyle w:val="Body 2"/>
        <w:numPr>
          <w:ilvl w:val="0"/>
          <w:numId w:val="4"/>
        </w:numPr>
        <w:spacing w:after="120"/>
        <w:rPr>
          <w:lang w:val="en-US"/>
        </w:rPr>
      </w:pPr>
      <w:r>
        <w:rPr>
          <w:rtl w:val="0"/>
          <w:lang w:val="en-US"/>
        </w:rPr>
        <w:t>Press release (created by Northern Quill; one radio interview with new CJCD resulted)</w:t>
      </w:r>
    </w:p>
    <w:p>
      <w:pPr>
        <w:pStyle w:val="Body 2"/>
        <w:numPr>
          <w:ilvl w:val="0"/>
          <w:numId w:val="4"/>
        </w:numPr>
        <w:spacing w:after="120"/>
        <w:rPr>
          <w:lang w:val="en-US"/>
        </w:rPr>
      </w:pPr>
      <w:r>
        <w:rPr>
          <w:rtl w:val="0"/>
          <w:lang w:val="en-US"/>
        </w:rPr>
        <w:t>Three separate social media visuals/carousels were created and shared (Northern Quill)</w:t>
      </w:r>
    </w:p>
    <w:p>
      <w:pPr>
        <w:pStyle w:val="Body 2"/>
        <w:numPr>
          <w:ilvl w:val="0"/>
          <w:numId w:val="4"/>
        </w:numPr>
        <w:spacing w:after="120"/>
        <w:rPr>
          <w:lang w:val="en-US"/>
        </w:rPr>
      </w:pPr>
      <w:r>
        <w:rPr>
          <w:rtl w:val="0"/>
          <w:lang w:val="en-US"/>
        </w:rPr>
        <w:t>Invitations to CIRNAC; GNWT; MiningWatch; community libraries; various individuals involved</w:t>
      </w:r>
    </w:p>
    <w:p>
      <w:pPr>
        <w:pStyle w:val="Body 2"/>
        <w:numPr>
          <w:ilvl w:val="0"/>
          <w:numId w:val="4"/>
        </w:numPr>
        <w:spacing w:after="160"/>
        <w:rPr>
          <w:lang w:val="en-US"/>
        </w:rPr>
      </w:pPr>
      <w:r>
        <w:rPr>
          <w:rtl w:val="0"/>
          <w:lang w:val="en-US"/>
        </w:rPr>
        <w:t>Youth workshop on water, led by Hannah Ascough unfortunately, attracted no participants</w:t>
      </w:r>
    </w:p>
    <w:p>
      <w:pPr>
        <w:pStyle w:val="Body"/>
        <w:bidi w:val="0"/>
      </w:pPr>
      <w:r>
        <w:rPr>
          <w:rtl w:val="0"/>
          <w:lang w:val="en-US"/>
        </w:rPr>
        <w:t>A total of approximately 51 suitable postcards were submitted through both physical and digital channels. Submissions received represented a meaningful range of perspectives and included thoughtful, emotional, informative, and varied responses from community members.  Three postcards from Hay River were received; all others were from Yellowknife (including one visitor from Taiwan).  All drop boxes received submissions except Gallery Building, Yellowknife Museum, Fort Smith library and NSMA boxes.</w:t>
      </w:r>
    </w:p>
    <w:p>
      <w:pPr>
        <w:pStyle w:val="Body"/>
        <w:bidi w:val="0"/>
      </w:pPr>
      <w:r>
        <w:rPr>
          <w:rtl w:val="0"/>
          <w:lang w:val="en-US"/>
        </w:rPr>
        <w:t>The submissions produced good fodder for the April 2026 public presentation.</w:t>
      </w:r>
    </w:p>
    <w:p>
      <w:pPr>
        <w:pStyle w:val="Heading"/>
        <w:bidi w:val="0"/>
      </w:pPr>
      <w:r>
        <w:rPr>
          <w:rtl w:val="0"/>
          <w:lang w:val="en-US"/>
        </w:rPr>
        <w:t>Giant Mine Remediation</w:t>
      </w:r>
      <w:r>
        <w:rPr>
          <w:rtl w:val="0"/>
          <w:lang w:val="en-US"/>
        </w:rPr>
        <w:t>\</w:t>
      </w:r>
    </w:p>
    <w:p>
      <w:pPr>
        <w:pStyle w:val="Body"/>
        <w:bidi w:val="0"/>
      </w:pPr>
      <w:r>
        <w:rPr>
          <w:rtl w:val="0"/>
          <w:lang w:val="en-US"/>
        </w:rPr>
        <w:t xml:space="preserve">Alternatives North has been heavily involved for many years in the Giant Mine </w:t>
      </w:r>
      <w:r>
        <w:rPr>
          <w:b w:val="1"/>
          <w:bCs w:val="1"/>
          <w:rtl w:val="0"/>
          <w:lang w:val="es-ES_tradnl"/>
        </w:rPr>
        <w:t>Perpetual Care Plan</w:t>
      </w:r>
      <w:r>
        <w:rPr>
          <w:rtl w:val="0"/>
          <w:lang w:val="en-US"/>
        </w:rPr>
        <w:t xml:space="preserve">.  The PCP is a work in progress, mostly by a contractor but AN participates as a member of the task force that contributes to overseeing the work.  It is meant to be an iterative and living document, with this being the first iteration.  Among topics already addressed in draft are: Human and Ecological Health, Governance, Long-Term Funding Commitments, and Communicating with Current and Future Generations.  This can be a demanding role, sometimes quite technical in nature, but is not a huge time commitment. Meetings take place at the report milestones, and there are only a few a year. The role requires the representative to be informed enough about the project to contribute to discussions, sometimes bringing feedback from the membership of Alternatives North, and then to be able to communicate updates on the project to Alternatives North. The PCP was well-served by Tim Edwards on behalf of AN, but Tim recently was hired by the City of Yellowknife and so had to give up his role.  We are looking for a replacement. </w:t>
      </w:r>
    </w:p>
    <w:p>
      <w:pPr>
        <w:pStyle w:val="Body"/>
        <w:bidi w:val="0"/>
      </w:pPr>
      <w:r>
        <w:rPr>
          <w:rtl w:val="0"/>
          <w:lang w:val="en-US"/>
        </w:rPr>
        <w:t xml:space="preserve">One matter of recent concern was the </w:t>
      </w:r>
      <w:r>
        <w:rPr>
          <w:b w:val="1"/>
          <w:bCs w:val="1"/>
          <w:rtl w:val="0"/>
          <w:lang w:val="en-US"/>
        </w:rPr>
        <w:t>relationship with the project co-proponents</w:t>
      </w:r>
      <w:r>
        <w:rPr>
          <w:rtl w:val="0"/>
          <w:lang w:val="en-US"/>
        </w:rPr>
        <w:t xml:space="preserve"> (the federal and territorial governments).  AN is one of six parties to the 2015 Environmental Agreement that came out of the 2003 </w:t>
      </w:r>
      <w:r>
        <w:rPr>
          <w:i w:val="1"/>
          <w:iCs w:val="1"/>
          <w:rtl w:val="0"/>
          <w:lang w:val="en-US"/>
        </w:rPr>
        <w:t>Report of Environmental Assessment and Reasons for Decision: Giant Mine Remediation Project</w:t>
      </w:r>
      <w:r>
        <w:rPr>
          <w:rtl w:val="0"/>
          <w:lang w:val="en-US"/>
        </w:rPr>
        <w:t>.  The other parties are the federal and territorial governments, City of Yellowknife, Yellowknives Dene First Nation, and North Slave M</w:t>
      </w:r>
      <w:r>
        <w:rPr>
          <w:rtl w:val="0"/>
        </w:rPr>
        <w:t>é</w:t>
      </w:r>
      <w:r>
        <w:rPr>
          <w:rtl w:val="0"/>
          <w:lang w:val="en-US"/>
        </w:rPr>
        <w:t xml:space="preserve">tis Alliance.  The relationship had always been good.  CIRNAC, for the federal government, funds the work of AN and others through annual contribution agreements, for example.  However, in January 2026 the co-proponents wrote to the Giant Mine Oversight Board regarding the 20-year independent review of the project as required by the Environmental Assessment with their own idea of when the review period should begin.  This is an important issue and one that the parties have discussed in the past.  The less than conciliatory tone of the January correspondence was a marked departure.  GMOB responded in a measured, positive tone.  We had planned to contribute to the discussion with support from the other parties.  One of the parties declined to join and the situation improved quickly as, it seemed, the co-proponents realized their faux pas and adjusted.  </w:t>
      </w:r>
    </w:p>
    <w:p>
      <w:pPr>
        <w:pStyle w:val="Heading"/>
        <w:bidi w:val="0"/>
      </w:pPr>
      <w:r>
        <w:rPr>
          <w:rtl w:val="0"/>
          <w:lang w:val="en-US"/>
        </w:rPr>
        <w:t xml:space="preserve">Giant Climate Economics Project.  </w:t>
      </w:r>
    </w:p>
    <w:p>
      <w:pPr>
        <w:pStyle w:val="Body"/>
        <w:bidi w:val="0"/>
      </w:pPr>
      <w:r>
        <w:rPr>
          <w:rtl w:val="0"/>
          <w:lang w:val="en-US"/>
        </w:rPr>
        <w:t xml:space="preserve">AN wants to assess potential economic vulnerabilities of the Giant Mine Remediation Project due to climate changes to make the Project more robust and inexpensive in the long term.  We want the post-remediation budget to assess economic vulnerabilities related to climate change and their potential cost implications.  The overall intent is to better ensure long-term financial and environmental stability for the project by better identifying climate related financial risks and suggesting ways to mitigate those risks.  </w:t>
      </w:r>
    </w:p>
    <w:p>
      <w:pPr>
        <w:pStyle w:val="Body"/>
        <w:spacing w:after="160"/>
        <w:rPr>
          <w:rFonts w:ascii="Times New Roman" w:cs="Times New Roman" w:hAnsi="Times New Roman" w:eastAsia="Times New Roman"/>
          <w:u w:color="000000"/>
        </w:rPr>
      </w:pPr>
      <w:r>
        <w:rPr>
          <w:rtl w:val="0"/>
          <w:lang w:val="en-US"/>
        </w:rPr>
        <w:t>A Statement of Work describing a four-phased project was finalized with input from some other parties to the Environmental Agreement.  The r</w:t>
      </w:r>
      <w:r>
        <w:rPr>
          <w:u w:color="000000"/>
          <w:rtl w:val="0"/>
          <w:lang w:val="en-US"/>
        </w:rPr>
        <w:t>equirements are:</w:t>
      </w:r>
    </w:p>
    <w:p>
      <w:pPr>
        <w:pStyle w:val="Body"/>
        <w:numPr>
          <w:ilvl w:val="0"/>
          <w:numId w:val="7"/>
        </w:numPr>
        <w:spacing w:after="120"/>
        <w:rPr>
          <w:lang w:val="en-US"/>
        </w:rPr>
      </w:pPr>
      <w:r>
        <w:rPr>
          <w:rFonts w:ascii="Times New Roman" w:hAnsi="Times New Roman"/>
          <w:u w:color="000000"/>
          <w:rtl w:val="0"/>
          <w:lang w:val="en-US"/>
        </w:rPr>
        <w:t xml:space="preserve"> </w:t>
      </w:r>
      <w:r>
        <w:rPr>
          <w:u w:color="000000"/>
          <w:rtl w:val="0"/>
          <w:lang w:val="en-US"/>
        </w:rPr>
        <w:t xml:space="preserve">Create a 25-year post-remediation budget starting in 2038. </w:t>
      </w:r>
    </w:p>
    <w:p>
      <w:pPr>
        <w:pStyle w:val="Body"/>
        <w:numPr>
          <w:ilvl w:val="0"/>
          <w:numId w:val="7"/>
        </w:numPr>
        <w:spacing w:after="120"/>
        <w:rPr>
          <w:lang w:val="en-US"/>
        </w:rPr>
      </w:pPr>
      <w:r>
        <w:rPr>
          <w:u w:color="000000"/>
          <w:rtl w:val="0"/>
          <w:lang w:val="en-US"/>
        </w:rPr>
        <w:t xml:space="preserve"> </w:t>
      </w:r>
      <w:r>
        <w:rPr>
          <w:u w:color="000000"/>
          <w:rtl w:val="0"/>
          <w:lang w:val="en-US"/>
        </w:rPr>
        <w:t>Identify and describe climate related implications for the GMRP</w:t>
      </w:r>
      <w:r>
        <w:rPr>
          <w:u w:color="000000"/>
          <w:rtl w:val="1"/>
        </w:rPr>
        <w:t>’</w:t>
      </w:r>
      <w:r>
        <w:rPr>
          <w:u w:color="000000"/>
          <w:rtl w:val="0"/>
          <w:lang w:val="en-US"/>
        </w:rPr>
        <w:t xml:space="preserve">s budget and economic approach. </w:t>
      </w:r>
    </w:p>
    <w:p>
      <w:pPr>
        <w:pStyle w:val="Body"/>
        <w:numPr>
          <w:ilvl w:val="0"/>
          <w:numId w:val="7"/>
        </w:numPr>
        <w:spacing w:after="120"/>
        <w:rPr>
          <w:lang w:val="en-US"/>
        </w:rPr>
      </w:pPr>
      <w:r>
        <w:rPr>
          <w:rFonts w:ascii="Times New Roman" w:hAnsi="Times New Roman"/>
          <w:u w:color="000000"/>
          <w:rtl w:val="0"/>
          <w:lang w:val="en-US"/>
        </w:rPr>
        <w:t xml:space="preserve"> </w:t>
      </w:r>
      <w:r>
        <w:rPr>
          <w:u w:color="000000"/>
          <w:rtl w:val="0"/>
          <w:lang w:val="en-US"/>
        </w:rPr>
        <w:t xml:space="preserve">Update the initial budget to include information on climate related economic risks. </w:t>
      </w:r>
    </w:p>
    <w:p>
      <w:pPr>
        <w:pStyle w:val="Body"/>
        <w:numPr>
          <w:ilvl w:val="0"/>
          <w:numId w:val="7"/>
        </w:numPr>
        <w:spacing w:after="120"/>
        <w:rPr>
          <w:lang w:val="en-US"/>
        </w:rPr>
      </w:pPr>
      <w:r>
        <w:rPr>
          <w:rFonts w:ascii="Times New Roman" w:hAnsi="Times New Roman"/>
          <w:u w:color="000000"/>
          <w:rtl w:val="0"/>
          <w:lang w:val="en-US"/>
        </w:rPr>
        <w:t xml:space="preserve"> </w:t>
      </w:r>
      <w:r>
        <w:rPr>
          <w:u w:color="000000"/>
          <w:rtl w:val="0"/>
          <w:lang w:val="en-US"/>
        </w:rPr>
        <w:t xml:space="preserve">Make recommendations to further improve understanding and mitigation of economic vulnerabilities. </w:t>
      </w:r>
    </w:p>
    <w:p>
      <w:pPr>
        <w:pStyle w:val="Body"/>
        <w:bidi w:val="0"/>
      </w:pPr>
      <w:r>
        <w:rPr>
          <w:rtl w:val="0"/>
          <w:lang w:val="en-US"/>
        </w:rPr>
        <w:t>The SoW was then circulated to groups that we thought could undertake the work.  We started with academic organizations and not-for-profit groups.  Although interest was shown, many said they were unable to take on the project due to other commitments.  We thought we found a match with University of Waterloo</w:t>
      </w:r>
      <w:r>
        <w:rPr>
          <w:rtl w:val="1"/>
        </w:rPr>
        <w:t>’</w:t>
      </w:r>
      <w:r>
        <w:rPr>
          <w:rtl w:val="0"/>
          <w:lang w:val="en-US"/>
        </w:rPr>
        <w:t>s Climate Institute.  Two researchers from their School of Environment, Enterprise and Development were keen to work with us.  They proposed a combination of masters</w:t>
      </w:r>
      <w:r>
        <w:rPr>
          <w:rtl w:val="1"/>
        </w:rPr>
        <w:t xml:space="preserve">’ </w:t>
      </w:r>
      <w:r>
        <w:rPr>
          <w:rtl w:val="0"/>
          <w:lang w:val="en-US"/>
        </w:rPr>
        <w:t>students and staff.  Unfortunately, they withdrew due to other work pressures.  We had two consulting companies put forward proposed work plans, one from ESSA and another from RFS.  They were vastly different ideas on proceeding.  We intend to request a modified proposal from ESSA to begin the work fiscal 2026-27.  We expect the project to extend over at least two fiscal years, subject to funding from CIRNAC.</w:t>
      </w:r>
    </w:p>
    <w:p>
      <w:pPr>
        <w:pStyle w:val="Default"/>
        <w:suppressAutoHyphens w:val="1"/>
        <w:spacing w:before="0" w:after="144" w:line="240" w:lineRule="auto"/>
        <w:jc w:val="left"/>
        <w:rPr>
          <w:rFonts w:ascii="Calibri" w:cs="Calibri" w:hAnsi="Calibri" w:eastAsia="Calibri"/>
          <w:sz w:val="22"/>
          <w:szCs w:val="22"/>
        </w:rPr>
      </w:pPr>
    </w:p>
    <w:p>
      <w:pPr>
        <w:pStyle w:val="Heading"/>
        <w:bidi w:val="0"/>
      </w:pPr>
      <w:r>
        <w:rPr>
          <w:rtl w:val="0"/>
          <w:lang w:val="en-US"/>
        </w:rPr>
        <w:t>GNWT Research Licensing</w:t>
      </w:r>
    </w:p>
    <w:p>
      <w:pPr>
        <w:pStyle w:val="Body"/>
        <w:bidi w:val="0"/>
      </w:pPr>
      <w:r>
        <w:rPr>
          <w:rtl w:val="0"/>
          <w:lang w:val="en-US"/>
        </w:rPr>
        <w:t xml:space="preserve">The GNWT Education Culture and Employment licences research and the Aurora Research Institute reviews ethics of research undertaken in the NWT. Both processes are protracted and adhere to rigid academic research frameworks. Non-academic research such as that conducted by northern NGOs in short, condensed timeframes cannot be accommodated within the current licensing and ethics regime. As a result, little if any social program/policy research has been undertaken by NGOs in the NWT for at least a dozen years. Alternatives North provided a letter of support to a discussion paper calling for reform of licencing and ethics review processes to support non-academic research by Northerners for Northerners. Other support letters were provided by Hotii ts'eeda, YWCA NWT, YK Women's Society, and NWT Literacy Council. Yellowknife North MLA Shauna Morgan has advanced this call for reform and expects a response from Minister Cleveland in June 2026. </w:t>
      </w:r>
    </w:p>
    <w:p>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1"/>
        <w:spacing w:before="0" w:after="144" w:line="240" w:lineRule="auto"/>
        <w:jc w:val="left"/>
        <w:rPr>
          <w:rFonts w:ascii="Calibri" w:cs="Calibri" w:hAnsi="Calibri" w:eastAsia="Calibri"/>
          <w:sz w:val="22"/>
          <w:szCs w:val="22"/>
        </w:rPr>
      </w:pPr>
    </w:p>
    <w:p>
      <w:pPr>
        <w:pStyle w:val="Heading"/>
        <w:bidi w:val="0"/>
      </w:pPr>
      <w:r>
        <w:rPr>
          <w:rtl w:val="0"/>
          <w:lang w:val="en-US"/>
        </w:rPr>
        <w:t>NWT Education System Concerns</w:t>
      </w:r>
    </w:p>
    <w:p>
      <w:pPr>
        <w:pStyle w:val="Body"/>
        <w:bidi w:val="0"/>
      </w:pPr>
      <w:r>
        <w:rPr>
          <w:rtl w:val="0"/>
          <w:lang w:val="en-US"/>
        </w:rPr>
        <w:t>Alternatives North submitted its brief to the Standing Committee on Government Operations on February 9, 2025</w:t>
      </w:r>
      <w:r>
        <w:rPr>
          <w:b w:val="1"/>
          <w:bCs w:val="1"/>
          <w:rtl w:val="0"/>
        </w:rPr>
        <w:t>,</w:t>
      </w:r>
      <w:r>
        <w:rPr>
          <w:rtl w:val="0"/>
          <w:lang w:val="en-US"/>
        </w:rPr>
        <w:t xml:space="preserve"> calling for a 30-year baseline of Indigenous education outcome data as a precondition for meaningful discussion of the Indigenous Employment Policy. The committee held a public briefing with the Minister of Finance on March 11, 2025, where broad IEP concerns were raised but the specific data questions Alternatives North had posed were not addressed. At some point between the submission and that briefing, MLA Julian Morse (Frame Lake) brought the AN request to the committee. Following the March 11 session, Morse wrote to Alternatives North </w:t>
      </w:r>
      <w:r>
        <w:rPr>
          <w:rtl w:val="0"/>
          <w:lang w:val="en-US"/>
        </w:rPr>
        <w:t xml:space="preserve">— </w:t>
      </w:r>
      <w:r>
        <w:rPr>
          <w:rtl w:val="0"/>
          <w:lang w:val="en-US"/>
        </w:rPr>
        <w:t xml:space="preserve">acknowledging the request, pointing to the newly released JK-12 Annual Report as a partial response, and indicating the committee would raise the data questions with the Minister in future meetings. No timeline for that follow-up was provided. The government's response to date has been procedural rather than substantive: AN's core argument </w:t>
      </w:r>
      <w:r>
        <w:rPr>
          <w:rtl w:val="0"/>
          <w:lang w:val="en-US"/>
        </w:rPr>
        <w:t xml:space="preserve">— </w:t>
      </w:r>
      <w:r>
        <w:rPr>
          <w:rtl w:val="0"/>
          <w:lang w:val="en-US"/>
        </w:rPr>
        <w:t xml:space="preserve">that the IEP cannot succeed without addressing the education pipeline </w:t>
      </w:r>
      <w:r>
        <w:rPr>
          <w:rtl w:val="0"/>
          <w:lang w:val="en-US"/>
        </w:rPr>
        <w:t xml:space="preserve">— </w:t>
      </w:r>
      <w:r>
        <w:rPr>
          <w:rtl w:val="0"/>
          <w:lang w:val="en-US"/>
        </w:rPr>
        <w:t>was neither engaged with nor rebutted, and the specific request for a publicly available historical data baseline remains unanswered. The next election may offer an opportunity to raise the issue with the public. Right now, we are standing on the shore of an ocean of official indifference and ignorance.</w:t>
      </w:r>
      <w:r>
        <w:rPr>
          <w:rtl w:val="0"/>
        </w:rPr>
        <w:t>  </w:t>
      </w:r>
    </w:p>
    <w:p>
      <w:pPr>
        <w:pStyle w:val="Default"/>
        <w:suppressAutoHyphens w:val="1"/>
        <w:spacing w:before="0" w:after="144" w:line="240" w:lineRule="auto"/>
        <w:jc w:val="left"/>
        <w:rPr>
          <w:rFonts w:ascii="Calibri" w:cs="Calibri" w:hAnsi="Calibri" w:eastAsia="Calibri"/>
          <w:sz w:val="22"/>
          <w:szCs w:val="22"/>
        </w:rPr>
      </w:pPr>
    </w:p>
    <w:p>
      <w:pPr>
        <w:pStyle w:val="Heading"/>
        <w:bidi w:val="0"/>
      </w:pPr>
      <w:r>
        <w:rPr>
          <w:rtl w:val="0"/>
          <w:lang w:val="en-US"/>
        </w:rPr>
        <w:t>Mineral Resources Act Regulations</w:t>
      </w:r>
    </w:p>
    <w:p>
      <w:pPr>
        <w:pStyle w:val="Body"/>
        <w:bidi w:val="0"/>
      </w:pPr>
      <w:r>
        <w:rPr>
          <w:rtl w:val="0"/>
          <w:lang w:val="en-US"/>
        </w:rPr>
        <w:t xml:space="preserve">The GNWT brought forward three packages of policy intention pages regarding setting up new regulations under the </w:t>
      </w:r>
      <w:r>
        <w:rPr>
          <w:i w:val="1"/>
          <w:iCs w:val="1"/>
          <w:rtl w:val="0"/>
          <w:lang w:val="en-US"/>
        </w:rPr>
        <w:t>Mineral Resources Act (</w:t>
      </w:r>
      <w:r>
        <w:rPr>
          <w:rtl w:val="0"/>
          <w:lang w:val="en-US"/>
        </w:rPr>
        <w:t>passed over seven years ago, but not in force until new regulations are completed).  Alternatives North teamed up with Ecology North to get a grant from MakeWay for undertaking a review of these papers.  With the grant money we hired Julian SpearChief-Morris, Associate Lawyer, Woodward &amp; Co LLP, who, along with Kevin O</w:t>
      </w:r>
      <w:r>
        <w:rPr>
          <w:rtl w:val="1"/>
        </w:rPr>
        <w:t>’</w:t>
      </w:r>
      <w:r>
        <w:rPr>
          <w:rtl w:val="0"/>
          <w:lang w:val="en-US"/>
        </w:rPr>
        <w:t>Reilly, prepared three submissions.  Our thanks to MakeWay for this timely grant, and the excellent work by Mssrs. SpearChief-Morris and O</w:t>
      </w:r>
      <w:r>
        <w:rPr>
          <w:rtl w:val="1"/>
        </w:rPr>
        <w:t>’</w:t>
      </w:r>
      <w:r>
        <w:rPr>
          <w:rtl w:val="0"/>
        </w:rPr>
        <w:t>Reilly.</w:t>
      </w:r>
    </w:p>
    <w:p>
      <w:pPr>
        <w:pStyle w:val="Body"/>
        <w:spacing w:after="120"/>
      </w:pPr>
      <w:r>
        <w:rPr>
          <w:rtl w:val="0"/>
          <w:lang w:val="en-US"/>
        </w:rPr>
        <w:t>The policy papers covered:</w:t>
      </w:r>
    </w:p>
    <w:p>
      <w:pPr>
        <w:pStyle w:val="Body"/>
        <w:spacing w:after="120"/>
        <w:ind w:left="283" w:firstLine="0"/>
      </w:pPr>
      <w:r>
        <w:rPr>
          <w:i w:val="1"/>
          <w:iCs w:val="1"/>
          <w:rtl w:val="0"/>
          <w:lang w:val="en-US"/>
        </w:rPr>
        <w:t>Phase 1</w:t>
      </w:r>
      <w:r>
        <w:rPr>
          <w:rtl w:val="0"/>
          <w:lang w:val="en-US"/>
        </w:rPr>
        <w:t>: Mineral resources administration policy, drill cores, and removal of minerals</w:t>
      </w:r>
    </w:p>
    <w:p>
      <w:pPr>
        <w:pStyle w:val="Body"/>
        <w:spacing w:after="120"/>
        <w:ind w:left="283" w:firstLine="0"/>
      </w:pPr>
      <w:r>
        <w:rPr>
          <w:i w:val="1"/>
          <w:iCs w:val="1"/>
          <w:rtl w:val="0"/>
          <w:lang w:val="en-US"/>
        </w:rPr>
        <w:t>Phase 2</w:t>
      </w:r>
      <w:r>
        <w:rPr>
          <w:rtl w:val="0"/>
          <w:lang w:val="en-US"/>
        </w:rPr>
        <w:t>: Socio-economic agreements (public) and Impact Benefit Agreements (private to Indigenous organizations)</w:t>
      </w:r>
    </w:p>
    <w:p>
      <w:pPr>
        <w:pStyle w:val="Body"/>
        <w:spacing w:after="160"/>
        <w:ind w:left="283" w:firstLine="0"/>
      </w:pPr>
      <w:r>
        <w:rPr>
          <w:i w:val="1"/>
          <w:iCs w:val="1"/>
          <w:rtl w:val="0"/>
          <w:lang w:val="en-US"/>
        </w:rPr>
        <w:t>Phase 3</w:t>
      </w:r>
      <w:r>
        <w:rPr>
          <w:rtl w:val="0"/>
          <w:lang w:val="en-US"/>
        </w:rPr>
        <w:t>: Transition of interests and the proposed Mineral Rights Review Board</w:t>
      </w:r>
    </w:p>
    <w:p>
      <w:pPr>
        <w:pStyle w:val="Body"/>
        <w:bidi w:val="0"/>
      </w:pPr>
      <w:r>
        <w:rPr>
          <w:rtl w:val="0"/>
          <w:lang w:val="en-US"/>
        </w:rPr>
        <w:t xml:space="preserve">We noted in all submissions that there generally needs to be more transparency and detail in the regulations to strengthen public confidence in the implementation of the MRA. </w:t>
      </w:r>
    </w:p>
    <w:p>
      <w:pPr>
        <w:pStyle w:val="Body"/>
        <w:bidi w:val="0"/>
      </w:pPr>
      <w:r>
        <w:rPr>
          <w:rtl w:val="0"/>
          <w:lang w:val="en-US"/>
        </w:rPr>
        <w:t>Noteworthy highlights:</w:t>
      </w:r>
    </w:p>
    <w:p>
      <w:pPr>
        <w:pStyle w:val="Body"/>
        <w:numPr>
          <w:ilvl w:val="0"/>
          <w:numId w:val="8"/>
        </w:numPr>
        <w:rPr>
          <w:lang w:val="en-US"/>
        </w:rPr>
      </w:pPr>
      <w:r>
        <w:rPr>
          <w:rtl w:val="0"/>
          <w:lang w:val="en-US"/>
        </w:rPr>
        <w:t xml:space="preserve"> </w:t>
      </w:r>
      <w:r>
        <w:rPr>
          <w:rtl w:val="0"/>
          <w:lang w:val="en-US"/>
        </w:rPr>
        <w:t>Environmental baseline work (as currently permitted under the current Mining Regulations) and archaeological surveys as eligible work to keep claims in good standing are both omitted and shouldn</w:t>
      </w:r>
      <w:r>
        <w:rPr>
          <w:rtl w:val="1"/>
        </w:rPr>
        <w:t>’</w:t>
      </w:r>
      <w:r>
        <w:rPr>
          <w:rtl w:val="0"/>
        </w:rPr>
        <w:t xml:space="preserve">t be.  </w:t>
      </w:r>
    </w:p>
    <w:p>
      <w:pPr>
        <w:pStyle w:val="Body"/>
        <w:numPr>
          <w:ilvl w:val="0"/>
          <w:numId w:val="8"/>
        </w:numPr>
        <w:rPr>
          <w:lang w:val="en-US"/>
        </w:rPr>
      </w:pPr>
      <w:r>
        <w:rPr>
          <w:rtl w:val="0"/>
          <w:lang w:val="en-US"/>
        </w:rPr>
        <w:t xml:space="preserve"> </w:t>
      </w:r>
      <w:r>
        <w:rPr>
          <w:rtl w:val="0"/>
          <w:lang w:val="en-US"/>
        </w:rPr>
        <w:t>While SEAs and IBAs address capacity (training, jobs, economic development opportunities), they do not contribute directly to government revenue like an as-yet undefined royalty regime would do.  We await more information on how that will be handled.</w:t>
      </w:r>
    </w:p>
    <w:p>
      <w:pPr>
        <w:pStyle w:val="Body"/>
        <w:numPr>
          <w:ilvl w:val="0"/>
          <w:numId w:val="8"/>
        </w:numPr>
        <w:rPr>
          <w:lang w:val="en-US"/>
        </w:rPr>
      </w:pPr>
      <w:r>
        <w:rPr>
          <w:rtl w:val="0"/>
          <w:lang w:val="en-US"/>
        </w:rPr>
        <w:t xml:space="preserve"> </w:t>
      </w:r>
      <w:r>
        <w:rPr>
          <w:rtl w:val="0"/>
          <w:lang w:val="en-US"/>
        </w:rPr>
        <w:t>Planned regulations appear to allow mineral claim and lease holders the option to continue operating under the old regime until the full expiration of those interests.  The voluntary opt-in approach is bound to create confusion, enforcement difficulties, and a significant administrative burden.</w:t>
      </w:r>
    </w:p>
    <w:p>
      <w:pPr>
        <w:pStyle w:val="Body"/>
        <w:numPr>
          <w:ilvl w:val="0"/>
          <w:numId w:val="8"/>
        </w:numPr>
        <w:rPr>
          <w:lang w:val="en-US"/>
        </w:rPr>
      </w:pPr>
      <w:r>
        <w:rPr>
          <w:rtl w:val="0"/>
          <w:lang w:val="en-US"/>
        </w:rPr>
        <w:t xml:space="preserve"> </w:t>
      </w:r>
      <w:r>
        <w:rPr>
          <w:rtl w:val="0"/>
          <w:lang w:val="en-US"/>
        </w:rPr>
        <w:t xml:space="preserve">It is unclear how the public registry will actually work and whether there will be an option to request notifications of new mineral exploration dispositions and activities to help avoid land use conflicts.   </w:t>
      </w:r>
    </w:p>
    <w:p>
      <w:pPr>
        <w:pStyle w:val="Body"/>
        <w:bidi w:val="0"/>
      </w:pPr>
      <w:r>
        <w:rPr>
          <w:rtl w:val="0"/>
          <w:lang w:val="en-US"/>
        </w:rPr>
        <w:t>We asked for a meeting, access to background information and cross-jurisdictional research used in drafting the policy intentions, copies of submissions made by other intervenors and detailed responses to the issues and recommendations we made.  We received an initial acknowledgement of receipt of our input in December 2025, but nothing since.</w:t>
      </w:r>
    </w:p>
    <w:p>
      <w:pPr>
        <w:pStyle w:val="Body"/>
        <w:bidi w:val="0"/>
      </w:pPr>
      <w:r>
        <w:rPr>
          <w:rtl w:val="0"/>
          <w:lang w:val="en-US"/>
        </w:rPr>
        <w:t>Through an Access to Information request, we learned of numerous and detailed secret meetings between the Department of Industry, Tourism and Investment and the mining industry to provide information and exchange views.  Information was shared with the mining industry that was not available to the public and non-disclosure agreements were also signed.  Alternatives North concluded that regulatory capture has taken place.</w:t>
      </w:r>
    </w:p>
    <w:p>
      <w:pPr>
        <w:pStyle w:val="Body"/>
        <w:bidi w:val="0"/>
      </w:pPr>
      <w:r>
        <w:rPr>
          <w:rtl w:val="0"/>
          <w:lang w:val="en-US"/>
        </w:rPr>
        <w:t xml:space="preserve">Alternatives North will need to continue to monitor development of the regulations and their implementation to continue to advocate for the public interest.  </w:t>
      </w:r>
    </w:p>
    <w:p>
      <w:pPr>
        <w:pStyle w:val="Body"/>
        <w:bidi w:val="0"/>
      </w:pPr>
    </w:p>
    <w:p>
      <w:pPr>
        <w:pStyle w:val="Heading"/>
        <w:bidi w:val="0"/>
      </w:pPr>
      <w:r>
        <w:rPr>
          <w:rtl w:val="0"/>
          <w:lang w:val="en-US"/>
        </w:rPr>
        <w:t>City of Yellowknife Climate Action Plan</w:t>
      </w:r>
    </w:p>
    <w:p>
      <w:pPr>
        <w:pStyle w:val="Body"/>
        <w:bidi w:val="0"/>
      </w:pPr>
      <w:r>
        <w:rPr>
          <w:rtl w:val="0"/>
          <w:lang w:val="en-US"/>
        </w:rPr>
        <w:t xml:space="preserve"> </w:t>
      </w:r>
      <w:r>
        <w:rPr>
          <w:rtl w:val="0"/>
          <w:lang w:val="en-US"/>
        </w:rPr>
        <w:t xml:space="preserve">n to the Standing Committee on Economic Development and Environment entitled </w:t>
      </w:r>
      <w:r>
        <w:rPr>
          <w:i w:val="1"/>
          <w:iCs w:val="1"/>
          <w:rtl w:val="0"/>
          <w:lang w:val="en-US"/>
        </w:rPr>
        <w:t xml:space="preserve">Renewable Heating Solutions in Small Communities </w:t>
      </w:r>
      <w:r>
        <w:rPr>
          <w:i w:val="1"/>
          <w:iCs w:val="1"/>
          <w:rtl w:val="0"/>
        </w:rPr>
        <w:t xml:space="preserve">– </w:t>
      </w:r>
      <w:r>
        <w:rPr>
          <w:i w:val="1"/>
          <w:iCs w:val="1"/>
          <w:rtl w:val="0"/>
          <w:lang w:val="en-US"/>
        </w:rPr>
        <w:t>March 2026</w:t>
      </w:r>
      <w:r>
        <w:rPr>
          <w:rtl w:val="0"/>
          <w:lang w:val="en-US"/>
        </w:rPr>
        <w:t>.  In it we highlighted biomass opportunities, community and regional coordination needs, and other renewable energy options such as a new geothermal technology that employs directional drilling techniques to harvest heat from underground through passive circulation that requires almost no inputs once in place.</w:t>
      </w:r>
    </w:p>
    <w:p>
      <w:pPr>
        <w:pStyle w:val="Default"/>
        <w:suppressAutoHyphens w:val="1"/>
        <w:spacing w:before="0" w:after="144" w:line="240" w:lineRule="auto"/>
        <w:jc w:val="left"/>
        <w:rPr>
          <w:rFonts w:ascii="Calibri" w:cs="Calibri" w:hAnsi="Calibri" w:eastAsia="Calibri"/>
          <w:sz w:val="22"/>
          <w:szCs w:val="22"/>
        </w:rPr>
      </w:pPr>
    </w:p>
    <w:p>
      <w:pPr>
        <w:pStyle w:val="Heading"/>
        <w:bidi w:val="0"/>
      </w:pPr>
      <w:r>
        <w:rPr>
          <w:rtl w:val="0"/>
          <w:lang w:val="en-US"/>
        </w:rPr>
        <w:t>NT Energy Solar Project</w:t>
      </w:r>
    </w:p>
    <w:p>
      <w:pPr>
        <w:pStyle w:val="Body"/>
        <w:bidi w:val="0"/>
      </w:pPr>
      <w:r>
        <w:rPr>
          <w:rtl w:val="0"/>
          <w:lang w:val="en-US"/>
        </w:rPr>
        <w:t>Unfortunately, since the retirement of an interested individual from NT Energy, there has been little progress on the 10 MW solar project beyond the early draft preliminary report indicating that the project looks viable and feasible.  During inquiries to GNWT, it was apparent that current personnel had lost track of the project and were, in fact, not even aware of it.  AN provided a copy of the prefeasibility study in the hopes that it would revive interest in further development of solar energy to displace diesel generation.</w:t>
      </w:r>
    </w:p>
    <w:p>
      <w:pPr>
        <w:pStyle w:val="Default"/>
        <w:suppressAutoHyphens w:val="1"/>
        <w:spacing w:before="0" w:after="144" w:line="240" w:lineRule="auto"/>
        <w:jc w:val="left"/>
        <w:rPr>
          <w:rFonts w:ascii="Verdana" w:cs="Verdana" w:hAnsi="Verdana" w:eastAsia="Verdana"/>
          <w:sz w:val="22"/>
          <w:szCs w:val="22"/>
        </w:rPr>
      </w:pPr>
    </w:p>
    <w:p>
      <w:pPr>
        <w:pStyle w:val="Heading"/>
        <w:bidi w:val="0"/>
      </w:pPr>
      <w:r>
        <w:rPr>
          <w:rtl w:val="0"/>
          <w:lang w:val="en-US"/>
        </w:rPr>
        <w:t>Opposition to Taltson Expansion Project</w:t>
      </w:r>
    </w:p>
    <w:p>
      <w:pPr>
        <w:pStyle w:val="Body"/>
        <w:bidi w:val="0"/>
      </w:pPr>
      <w:r>
        <w:rPr>
          <w:rtl w:val="0"/>
          <w:lang w:val="en-US"/>
        </w:rPr>
        <w:t xml:space="preserve">In June 2025 Alternatives North wrote Prime Minister Carney and Minister Rebecca Alty urging them to resist the effort to give the Taltson Expansion Project </w:t>
      </w:r>
      <w:r>
        <w:rPr>
          <w:rtl w:val="1"/>
          <w:lang w:val="ar-SA" w:bidi="ar-SA"/>
        </w:rPr>
        <w:t>“</w:t>
      </w:r>
      <w:r>
        <w:rPr>
          <w:rtl w:val="0"/>
          <w:lang w:val="en-US"/>
        </w:rPr>
        <w:t>nation-building</w:t>
      </w:r>
      <w:r>
        <w:rPr>
          <w:rtl w:val="0"/>
        </w:rPr>
        <w:t xml:space="preserve">” </w:t>
      </w:r>
      <w:r>
        <w:rPr>
          <w:rtl w:val="0"/>
          <w:lang w:val="en-US"/>
        </w:rPr>
        <w:t>status.  We detailed why we hold those views and urged them to shift support to local renewable energy projects that could benefit and support all communities in multiple ways.  We followed this up a day later with a more personalized letter to Ms. Alty as our Member of Parliament with her unique position of power in the government, urging her to lobby on our behalf for the views we outlined in our letter.  We received a letter back from the government saying our letter to the Prime Minister was received.  We did not hear back from our MP.</w:t>
      </w:r>
    </w:p>
    <w:p>
      <w:pPr>
        <w:pStyle w:val="Default"/>
        <w:suppressAutoHyphens w:val="1"/>
        <w:spacing w:before="0" w:line="240" w:lineRule="auto"/>
        <w:jc w:val="left"/>
        <w:rPr>
          <w:rFonts w:ascii="Calibri" w:cs="Calibri" w:hAnsi="Calibri" w:eastAsia="Calibri"/>
          <w:sz w:val="22"/>
          <w:szCs w:val="22"/>
        </w:rPr>
      </w:pPr>
    </w:p>
    <w:p>
      <w:pPr>
        <w:pStyle w:val="Heading"/>
        <w:bidi w:val="0"/>
      </w:pPr>
      <w:r>
        <w:rPr>
          <w:rtl w:val="0"/>
          <w:lang w:val="en-US"/>
        </w:rPr>
        <w:t>Alternatives North Social Media Presence</w:t>
      </w:r>
    </w:p>
    <w:p>
      <w:pPr>
        <w:pStyle w:val="Body"/>
        <w:bidi w:val="0"/>
      </w:pPr>
      <w:r>
        <w:rPr>
          <w:rtl w:val="0"/>
          <w:lang w:val="en-US"/>
        </w:rPr>
        <w:t>Alternatives North had lost access to the</w:t>
      </w:r>
      <w:r>
        <w:rPr>
          <w:rtl w:val="0"/>
        </w:rPr>
        <w:t> </w:t>
      </w:r>
      <w:r>
        <w:rPr>
          <w:rStyle w:val="Hyperlink.0"/>
        </w:rPr>
        <w:fldChar w:fldCharType="begin" w:fldLock="0"/>
      </w:r>
      <w:r>
        <w:rPr>
          <w:rStyle w:val="Hyperlink.0"/>
        </w:rPr>
        <w:instrText xml:space="preserve"> HYPERLINK "http://alternativesnorth.ca"</w:instrText>
      </w:r>
      <w:r>
        <w:rPr>
          <w:rStyle w:val="Hyperlink.0"/>
        </w:rPr>
        <w:fldChar w:fldCharType="separate" w:fldLock="0"/>
      </w:r>
      <w:r>
        <w:rPr>
          <w:rStyle w:val="Hyperlink.0"/>
          <w:rtl w:val="0"/>
          <w:lang w:val="en-US"/>
        </w:rPr>
        <w:t>alternativesnorth.ca</w:t>
      </w:r>
      <w:r>
        <w:rPr/>
        <w:fldChar w:fldCharType="end" w:fldLock="0"/>
      </w:r>
      <w:r>
        <w:rPr>
          <w:rtl w:val="0"/>
        </w:rPr>
        <w:t> </w:t>
      </w:r>
      <w:r>
        <w:rPr>
          <w:rtl w:val="0"/>
          <w:lang w:val="en-US"/>
        </w:rPr>
        <w:t>domain. Kyle at Withmedia created a workaround, but lingering accounts on</w:t>
      </w:r>
      <w:r>
        <w:rPr>
          <w:rtl w:val="0"/>
        </w:rPr>
        <w:t> </w:t>
      </w:r>
      <w:r>
        <w:rPr>
          <w:rStyle w:val="Hyperlink.0"/>
        </w:rPr>
        <w:fldChar w:fldCharType="begin" w:fldLock="0"/>
      </w:r>
      <w:r>
        <w:rPr>
          <w:rStyle w:val="Hyperlink.0"/>
        </w:rPr>
        <w:instrText xml:space="preserve"> HYPERLINK "http://WordPress.com"</w:instrText>
      </w:r>
      <w:r>
        <w:rPr>
          <w:rStyle w:val="Hyperlink.0"/>
        </w:rPr>
        <w:fldChar w:fldCharType="separate" w:fldLock="0"/>
      </w:r>
      <w:r>
        <w:rPr>
          <w:rStyle w:val="Hyperlink.0"/>
          <w:rtl w:val="0"/>
          <w:lang w:val="pt-PT"/>
        </w:rPr>
        <w:t>WordPress.com</w:t>
      </w:r>
      <w:r>
        <w:rPr/>
        <w:fldChar w:fldCharType="end" w:fldLock="0"/>
      </w:r>
      <w:r>
        <w:rPr>
          <w:rtl w:val="0"/>
        </w:rPr>
        <w:t> </w:t>
      </w:r>
      <w:r>
        <w:rPr>
          <w:rtl w:val="0"/>
          <w:lang w:val="en-US"/>
        </w:rPr>
        <w:t>were still blocking full access. With help from Katherine and Jacquelyn, we were eventually able to regain control of the domain through</w:t>
      </w:r>
      <w:r>
        <w:rPr>
          <w:rtl w:val="0"/>
        </w:rPr>
        <w:t> </w:t>
      </w:r>
      <w:r>
        <w:rPr>
          <w:rStyle w:val="Hyperlink.0"/>
        </w:rPr>
        <w:fldChar w:fldCharType="begin" w:fldLock="0"/>
      </w:r>
      <w:r>
        <w:rPr>
          <w:rStyle w:val="Hyperlink.0"/>
        </w:rPr>
        <w:instrText xml:space="preserve"> HYPERLINK "http://Rebel.ca"</w:instrText>
      </w:r>
      <w:r>
        <w:rPr>
          <w:rStyle w:val="Hyperlink.0"/>
        </w:rPr>
        <w:fldChar w:fldCharType="separate" w:fldLock="0"/>
      </w:r>
      <w:r>
        <w:rPr>
          <w:rStyle w:val="Hyperlink.0"/>
          <w:rtl w:val="0"/>
          <w:lang w:val="pt-PT"/>
        </w:rPr>
        <w:t>Rebel.ca</w:t>
      </w:r>
      <w:r>
        <w:rPr/>
        <w:fldChar w:fldCharType="end" w:fldLock="0"/>
      </w:r>
      <w:r>
        <w:rPr>
          <w:rtl w:val="0"/>
          <w:lang w:val="en-US"/>
        </w:rPr>
        <w:t>, a domain registrar and hosting company based in Ottawa, Ontario.</w:t>
      </w:r>
    </w:p>
    <w:p>
      <w:pPr>
        <w:pStyle w:val="Body"/>
        <w:bidi w:val="0"/>
      </w:pPr>
      <w:r>
        <w:rPr>
          <w:rtl w:val="0"/>
          <w:lang w:val="en-US"/>
        </w:rPr>
        <w:t>Karen has attached the recurring charges to her credit card, and all access details are stored in the G-Drive account associated with</w:t>
      </w:r>
      <w:r>
        <w:rPr>
          <w:rtl w:val="0"/>
        </w:rPr>
        <w:t> </w:t>
      </w:r>
      <w:r>
        <w:rPr>
          <w:rStyle w:val="Hyperlink.0"/>
        </w:rPr>
        <w:fldChar w:fldCharType="begin" w:fldLock="0"/>
      </w:r>
      <w:r>
        <w:rPr>
          <w:rStyle w:val="Hyperlink.0"/>
        </w:rPr>
        <w:instrText xml:space="preserve"> HYPERLINK "mailto:alternativesnorthinfo@gmail.com"</w:instrText>
      </w:r>
      <w:r>
        <w:rPr>
          <w:rStyle w:val="Hyperlink.0"/>
        </w:rPr>
        <w:fldChar w:fldCharType="separate" w:fldLock="0"/>
      </w:r>
      <w:r>
        <w:rPr>
          <w:rStyle w:val="Hyperlink.0"/>
          <w:rtl w:val="0"/>
          <w:lang w:val="en-US"/>
        </w:rPr>
        <w:t>alternativesnorthinfo@gmail.com</w:t>
      </w:r>
      <w:r>
        <w:rPr/>
        <w:fldChar w:fldCharType="end" w:fldLock="0"/>
      </w:r>
      <w:r>
        <w:rPr>
          <w:rtl w:val="0"/>
        </w:rPr>
        <w:t>.</w:t>
      </w:r>
    </w:p>
    <w:p>
      <w:pPr>
        <w:pStyle w:val="Body"/>
        <w:bidi w:val="0"/>
      </w:pPr>
      <w:r>
        <w:rPr>
          <w:rtl w:val="0"/>
          <w:lang w:val="en-US"/>
        </w:rPr>
        <w:t>Regaining the domain also made it possible to resurrect the</w:t>
      </w:r>
      <w:r>
        <w:rPr>
          <w:rtl w:val="0"/>
        </w:rPr>
        <w:t> </w:t>
      </w:r>
      <w:r>
        <w:rPr>
          <w:rStyle w:val="Hyperlink.0"/>
        </w:rPr>
        <w:fldChar w:fldCharType="begin" w:fldLock="0"/>
      </w:r>
      <w:r>
        <w:rPr>
          <w:rStyle w:val="Hyperlink.0"/>
        </w:rPr>
        <w:instrText xml:space="preserve"> HYPERLINK "http://alternativesnorth.ca"</w:instrText>
      </w:r>
      <w:r>
        <w:rPr>
          <w:rStyle w:val="Hyperlink.0"/>
        </w:rPr>
        <w:fldChar w:fldCharType="separate" w:fldLock="0"/>
      </w:r>
      <w:r>
        <w:rPr>
          <w:rStyle w:val="Hyperlink.0"/>
          <w:rtl w:val="0"/>
          <w:lang w:val="en-US"/>
        </w:rPr>
        <w:t>alternativesnorth.ca</w:t>
      </w:r>
      <w:r>
        <w:rPr/>
        <w:fldChar w:fldCharType="end" w:fldLock="0"/>
      </w:r>
      <w:r>
        <w:rPr>
          <w:rtl w:val="0"/>
        </w:rPr>
        <w:t> </w:t>
      </w:r>
      <w:r>
        <w:rPr>
          <w:rtl w:val="0"/>
          <w:lang w:val="en-US"/>
        </w:rPr>
        <w:t>email address. The decision was made to keep</w:t>
      </w:r>
      <w:r>
        <w:rPr>
          <w:rtl w:val="0"/>
        </w:rPr>
        <w:t> </w:t>
      </w:r>
      <w:r>
        <w:rPr>
          <w:rStyle w:val="Hyperlink.0"/>
        </w:rPr>
        <w:fldChar w:fldCharType="begin" w:fldLock="0"/>
      </w:r>
      <w:r>
        <w:rPr>
          <w:rStyle w:val="Hyperlink.0"/>
        </w:rPr>
        <w:instrText xml:space="preserve"> HYPERLINK "mailto:alternativesnorthinfo@gmail.com"</w:instrText>
      </w:r>
      <w:r>
        <w:rPr>
          <w:rStyle w:val="Hyperlink.0"/>
        </w:rPr>
        <w:fldChar w:fldCharType="separate" w:fldLock="0"/>
      </w:r>
      <w:r>
        <w:rPr>
          <w:rStyle w:val="Hyperlink.0"/>
          <w:rtl w:val="0"/>
          <w:lang w:val="en-US"/>
        </w:rPr>
        <w:t>alternativesnorthinfo@gmail.com</w:t>
      </w:r>
      <w:r>
        <w:rPr/>
        <w:fldChar w:fldCharType="end" w:fldLock="0"/>
      </w:r>
      <w:r>
        <w:rPr>
          <w:rtl w:val="0"/>
        </w:rPr>
        <w:t> </w:t>
      </w:r>
      <w:r>
        <w:rPr>
          <w:rtl w:val="0"/>
          <w:lang w:val="en-US"/>
        </w:rPr>
        <w:t>as the main contact email, while the</w:t>
      </w:r>
      <w:r>
        <w:rPr>
          <w:rtl w:val="0"/>
        </w:rPr>
        <w:t> </w:t>
      </w:r>
      <w:r>
        <w:rPr>
          <w:rStyle w:val="Hyperlink.0"/>
        </w:rPr>
        <w:fldChar w:fldCharType="begin" w:fldLock="0"/>
      </w:r>
      <w:r>
        <w:rPr>
          <w:rStyle w:val="Hyperlink.0"/>
        </w:rPr>
        <w:instrText xml:space="preserve"> HYPERLINK "http://alternativesnorth.ca"</w:instrText>
      </w:r>
      <w:r>
        <w:rPr>
          <w:rStyle w:val="Hyperlink.0"/>
        </w:rPr>
        <w:fldChar w:fldCharType="separate" w:fldLock="0"/>
      </w:r>
      <w:r>
        <w:rPr>
          <w:rStyle w:val="Hyperlink.0"/>
          <w:rtl w:val="0"/>
          <w:lang w:val="en-US"/>
        </w:rPr>
        <w:t>alternativesnorth.ca</w:t>
      </w:r>
      <w:r>
        <w:rPr/>
        <w:fldChar w:fldCharType="end" w:fldLock="0"/>
      </w:r>
      <w:r>
        <w:rPr>
          <w:rtl w:val="0"/>
        </w:rPr>
        <w:t> </w:t>
      </w:r>
      <w:r>
        <w:rPr>
          <w:rtl w:val="0"/>
          <w:lang w:val="en-US"/>
        </w:rPr>
        <w:t xml:space="preserve">address will be used for special projects </w:t>
      </w:r>
      <w:r>
        <w:rPr>
          <w:rtl w:val="0"/>
          <w:lang w:val="en-US"/>
        </w:rPr>
        <w:t xml:space="preserve">— </w:t>
      </w:r>
      <w:r>
        <w:rPr>
          <w:rtl w:val="0"/>
          <w:lang w:val="en-US"/>
        </w:rPr>
        <w:t>as is already the case with the Giant Mine Postcard Project.</w:t>
      </w:r>
    </w:p>
    <w:sectPr>
      <w:headerReference w:type="default" r:id="rId4"/>
      <w:footerReference w:type="default" r:id="rId5"/>
      <w:pgSz w:w="12240" w:h="15840" w:orient="portrait"/>
      <w:pgMar w:top="1440" w:right="1440" w:bottom="1440" w:left="1440" w:header="480" w:footer="48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i w:val="1"/>
        <w:iCs w:val="1"/>
        <w:rtl w:val="0"/>
        <w:lang w:val="en-US"/>
      </w:rPr>
      <w:t>AltNorth 2025-26 AGM</w:t>
    </w:r>
    <w:r>
      <w:rPr>
        <w:i w:val="1"/>
        <w:iCs w:val="1"/>
      </w:rPr>
      <w:tab/>
      <w:tab/>
    </w:r>
    <w:r>
      <w:rPr>
        <w:rFonts w:ascii="Helvetica Neue" w:cs="Helvetica Neue" w:hAnsi="Helvetica Neue" w:eastAsia="Helvetica Neue"/>
        <w:b w:val="0"/>
        <w:bCs w:val="0"/>
        <w:i w:val="0"/>
        <w:iCs w:val="0"/>
      </w:rPr>
      <w:fldChar w:fldCharType="begin" w:fldLock="0"/>
    </w:r>
    <w:r>
      <w:rPr>
        <w:rFonts w:ascii="Helvetica Neue" w:cs="Helvetica Neue" w:hAnsi="Helvetica Neue" w:eastAsia="Helvetica Neue"/>
        <w:b w:val="0"/>
        <w:bCs w:val="0"/>
        <w:i w:val="0"/>
        <w:iCs w:val="0"/>
      </w:rPr>
      <w:instrText xml:space="preserve"> PAGE </w:instrText>
    </w:r>
    <w:r>
      <w:rPr>
        <w:rFonts w:ascii="Helvetica Neue" w:cs="Helvetica Neue" w:hAnsi="Helvetica Neue" w:eastAsia="Helvetica Neue"/>
        <w:b w:val="0"/>
        <w:bCs w:val="0"/>
        <w:i w:val="0"/>
        <w:iCs w:val="0"/>
      </w:rPr>
      <w:fldChar w:fldCharType="separate" w:fldLock="0"/>
    </w:r>
    <w:r>
      <w:rPr>
        <w:rFonts w:ascii="Helvetica Neue" w:cs="Helvetica Neue" w:hAnsi="Helvetica Neue" w:eastAsia="Helvetica Neue"/>
        <w:b w:val="0"/>
        <w:bCs w:val="0"/>
        <w:i w:val="0"/>
        <w:iCs w:val="0"/>
      </w:rPr>
    </w:r>
    <w:r>
      <w:rPr>
        <w:rFonts w:ascii="Helvetica Neue" w:cs="Helvetica Neue" w:hAnsi="Helvetica Neue" w:eastAsia="Helvetica Neue"/>
        <w:b w:val="0"/>
        <w:bCs w:val="0"/>
        <w:i w:val="0"/>
        <w:iCs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tabs>
          <w:tab w:val="num" w:pos="742"/>
        </w:tabs>
        <w:ind w:left="829" w:hanging="349"/>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suff w:val="tab"/>
      <w:lvlText w:val="•"/>
      <w:lvlJc w:val="left"/>
      <w:pPr>
        <w:tabs>
          <w:tab w:val="num" w:pos="982"/>
        </w:tabs>
        <w:ind w:left="1069" w:hanging="349"/>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tabs>
          <w:tab w:val="num" w:pos="1222"/>
        </w:tabs>
        <w:ind w:left="1309" w:hanging="349"/>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suff w:val="tab"/>
      <w:lvlText w:val="•"/>
      <w:lvlJc w:val="left"/>
      <w:pPr>
        <w:tabs>
          <w:tab w:val="num" w:pos="1462"/>
        </w:tabs>
        <w:ind w:left="1549" w:hanging="349"/>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suff w:val="tab"/>
      <w:lvlText w:val="•"/>
      <w:lvlJc w:val="left"/>
      <w:pPr>
        <w:tabs>
          <w:tab w:val="num" w:pos="1702"/>
        </w:tabs>
        <w:ind w:left="1789" w:hanging="349"/>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suff w:val="tab"/>
      <w:lvlText w:val="•"/>
      <w:lvlJc w:val="left"/>
      <w:pPr>
        <w:tabs>
          <w:tab w:val="num" w:pos="1942"/>
        </w:tabs>
        <w:ind w:left="2029" w:hanging="349"/>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suff w:val="tab"/>
      <w:lvlText w:val="•"/>
      <w:lvlJc w:val="left"/>
      <w:pPr>
        <w:tabs>
          <w:tab w:val="num" w:pos="2182"/>
        </w:tabs>
        <w:ind w:left="2269" w:hanging="349"/>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suff w:val="tab"/>
      <w:lvlText w:val="•"/>
      <w:lvlJc w:val="left"/>
      <w:pPr>
        <w:tabs>
          <w:tab w:val="num" w:pos="2422"/>
        </w:tabs>
        <w:ind w:left="2509" w:hanging="349"/>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suff w:val="tab"/>
      <w:lvlText w:val="•"/>
      <w:lvlJc w:val="left"/>
      <w:pPr>
        <w:tabs>
          <w:tab w:val="num" w:pos="2662"/>
        </w:tabs>
        <w:ind w:left="2749" w:hanging="349"/>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tabs>
          <w:tab w:val="num" w:pos="676"/>
        </w:tabs>
        <w:ind w:left="76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num" w:pos="856"/>
        </w:tabs>
        <w:ind w:left="943" w:hanging="283"/>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tabs>
          <w:tab w:val="num" w:pos="1036"/>
        </w:tabs>
        <w:ind w:left="1123" w:hanging="283"/>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tabs>
          <w:tab w:val="num" w:pos="1216"/>
        </w:tabs>
        <w:ind w:left="1303" w:hanging="283"/>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tabs>
          <w:tab w:val="num" w:pos="1396"/>
        </w:tabs>
        <w:ind w:left="1483" w:hanging="283"/>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tabs>
          <w:tab w:val="num" w:pos="1576"/>
        </w:tabs>
        <w:ind w:left="1663" w:hanging="283"/>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tabs>
          <w:tab w:val="num" w:pos="1756"/>
        </w:tabs>
        <w:ind w:left="1843" w:hanging="283"/>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tabs>
          <w:tab w:val="num" w:pos="1936"/>
        </w:tabs>
        <w:ind w:left="2023" w:hanging="283"/>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tabs>
          <w:tab w:val="num" w:pos="2116"/>
        </w:tabs>
        <w:ind w:left="2203" w:hanging="283"/>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Numbered"/>
  </w:abstractNum>
  <w:abstractNum w:abstractNumId="5">
    <w:multiLevelType w:val="hybridMultilevel"/>
    <w:styleLink w:val="Numbered"/>
    <w:lvl w:ilvl="0">
      <w:start w:val="1"/>
      <w:numFmt w:val="decimal"/>
      <w:suff w:val="nothing"/>
      <w:lvlText w:val="%1."/>
      <w:lvlJc w:val="left"/>
      <w:pPr>
        <w:ind w:left="615" w:hanging="33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ind w:left="795" w:hanging="33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ind w:left="975" w:hanging="33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ind w:left="1155" w:hanging="33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ind w:left="1335" w:hanging="33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ind w:left="1515" w:hanging="33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1695" w:hanging="33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ind w:left="1875" w:hanging="33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ind w:left="2055" w:hanging="33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tabs>
            <w:tab w:val="num" w:pos="676"/>
          </w:tabs>
          <w:ind w:left="196" w:firstLine="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num" w:pos="856"/>
          </w:tabs>
          <w:ind w:left="376" w:firstLine="28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tabs>
            <w:tab w:val="num" w:pos="1036"/>
          </w:tabs>
          <w:ind w:left="556" w:firstLine="28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tabs>
            <w:tab w:val="num" w:pos="1216"/>
          </w:tabs>
          <w:ind w:left="736" w:firstLine="28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tabs>
            <w:tab w:val="num" w:pos="1396"/>
          </w:tabs>
          <w:ind w:left="916" w:firstLine="28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tabs>
            <w:tab w:val="num" w:pos="1576"/>
          </w:tabs>
          <w:ind w:left="1096" w:firstLine="28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tabs>
            <w:tab w:val="num" w:pos="1756"/>
          </w:tabs>
          <w:ind w:left="1276" w:firstLine="28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tabs>
            <w:tab w:val="num" w:pos="1936"/>
          </w:tabs>
          <w:ind w:left="1456" w:firstLine="28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tabs>
            <w:tab w:val="num" w:pos="2116"/>
          </w:tabs>
          <w:ind w:left="1636" w:firstLine="284"/>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6">
    <w:abstractNumId w:val="5"/>
  </w:num>
  <w:num w:numId="7">
    <w:abstractNumId w:val="4"/>
  </w:num>
  <w:num w:numId="8">
    <w:abstractNumId w:val="2"/>
    <w:lvlOverride w:ilvl="0">
      <w:lvl w:ilvl="0">
        <w:start w:val="1"/>
        <w:numFmt w:val="bullet"/>
        <w:suff w:val="nothing"/>
        <w:lvlText w:val="·"/>
        <w:lvlJc w:val="left"/>
        <w:pPr>
          <w:ind w:left="458" w:hanging="17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nothing"/>
        <w:lvlText w:val="·"/>
        <w:lvlJc w:val="left"/>
        <w:pPr>
          <w:ind w:left="638" w:hanging="174"/>
        </w:pPr>
        <w:rPr>
          <w:rFonts w:ascii="Symbol" w:cs="Symbol" w:hAnsi="Symbol" w:eastAsia="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nothing"/>
        <w:lvlText w:val="·"/>
        <w:lvlJc w:val="left"/>
        <w:pPr>
          <w:ind w:left="818" w:hanging="174"/>
        </w:pPr>
        <w:rPr>
          <w:rFonts w:ascii="Symbol" w:cs="Symbol" w:hAnsi="Symbol" w:eastAsia="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nothing"/>
        <w:lvlText w:val="·"/>
        <w:lvlJc w:val="left"/>
        <w:pPr>
          <w:ind w:left="998" w:hanging="174"/>
        </w:pPr>
        <w:rPr>
          <w:rFonts w:ascii="Symbol" w:cs="Symbol" w:hAnsi="Symbol" w:eastAsia="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nothing"/>
        <w:lvlText w:val="·"/>
        <w:lvlJc w:val="left"/>
        <w:pPr>
          <w:ind w:left="1178" w:hanging="174"/>
        </w:pPr>
        <w:rPr>
          <w:rFonts w:ascii="Symbol" w:cs="Symbol" w:hAnsi="Symbol" w:eastAsia="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nothing"/>
        <w:lvlText w:val="·"/>
        <w:lvlJc w:val="left"/>
        <w:pPr>
          <w:ind w:left="1358" w:hanging="174"/>
        </w:pPr>
        <w:rPr>
          <w:rFonts w:ascii="Symbol" w:cs="Symbol" w:hAnsi="Symbol" w:eastAsia="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nothing"/>
        <w:lvlText w:val="·"/>
        <w:lvlJc w:val="left"/>
        <w:pPr>
          <w:ind w:left="1538" w:hanging="174"/>
        </w:pPr>
        <w:rPr>
          <w:rFonts w:ascii="Symbol" w:cs="Symbol" w:hAnsi="Symbol" w:eastAsia="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nothing"/>
        <w:lvlText w:val="·"/>
        <w:lvlJc w:val="left"/>
        <w:pPr>
          <w:ind w:left="1718" w:hanging="174"/>
        </w:pPr>
        <w:rPr>
          <w:rFonts w:ascii="Symbol" w:cs="Symbol" w:hAnsi="Symbol" w:eastAsia="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nothing"/>
        <w:lvlText w:val="·"/>
        <w:lvlJc w:val="left"/>
        <w:pPr>
          <w:ind w:left="1898" w:hanging="174"/>
        </w:pPr>
        <w:rPr>
          <w:rFonts w:ascii="Symbol" w:cs="Symbol" w:hAnsi="Symbol" w:eastAsia="Symbol"/>
          <w:b w:val="0"/>
          <w:bCs w:val="0"/>
          <w:i w:val="0"/>
          <w:iCs w:val="0"/>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Title">
    <w:name w:val="Title"/>
    <w:next w:val="Title"/>
    <w:pPr>
      <w:keepNext w:val="0"/>
      <w:keepLines w:val="1"/>
      <w:pageBreakBefore w:val="0"/>
      <w:widowControl w:val="1"/>
      <w:shd w:val="clear" w:color="auto" w:fill="auto"/>
      <w:suppressAutoHyphens w:val="0"/>
      <w:bidi w:val="0"/>
      <w:spacing w:before="0" w:after="120" w:line="240" w:lineRule="auto"/>
      <w:ind w:left="0" w:right="0" w:firstLine="0"/>
      <w:jc w:val="center"/>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itle">
    <w:name w:val="Subtitle"/>
    <w:next w:val="Subtitle"/>
    <w:pPr>
      <w:keepNext w:val="0"/>
      <w:keepLines w:val="1"/>
      <w:pageBreakBefore w:val="0"/>
      <w:widowControl w:val="1"/>
      <w:shd w:val="clear" w:color="auto" w:fill="auto"/>
      <w:suppressAutoHyphens w:val="0"/>
      <w:bidi w:val="0"/>
      <w:spacing w:before="0" w:after="360" w:line="240" w:lineRule="auto"/>
      <w:ind w:left="0" w:right="0" w:firstLine="0"/>
      <w:jc w:val="center"/>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280" w:after="160" w:line="240" w:lineRule="auto"/>
      <w:ind w:left="0" w:right="0" w:firstLine="0"/>
      <w:jc w:val="center"/>
      <w:outlineLvl w:val="0"/>
    </w:pPr>
    <w:rPr>
      <w:rFonts w:ascii="Helvetica Neue" w:cs="Arial Unicode MS" w:hAnsi="Helvetica Neue" w:eastAsia="Arial Unicode MS"/>
      <w:b w:val="0"/>
      <w:bCs w:val="0"/>
      <w:i w:val="0"/>
      <w:iCs w:val="0"/>
      <w:caps w:val="0"/>
      <w:smallCaps w:val="0"/>
      <w:strike w:val="0"/>
      <w:dstrike w:val="0"/>
      <w:outline w:val="0"/>
      <w:color w:val="000000"/>
      <w:spacing w:val="2"/>
      <w:kern w:val="0"/>
      <w:position w:val="0"/>
      <w:sz w:val="28"/>
      <w:szCs w:val="28"/>
      <w:u w:val="none"/>
      <w:shd w:val="nil" w:color="auto" w:fill="auto"/>
      <w:vertAlign w:val="baseline"/>
      <w:lang w:val="fr-FR"/>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40" w:line="312"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7"/>
      <w:kern w:val="0"/>
      <w:position w:val="0"/>
      <w:sz w:val="24"/>
      <w:szCs w:val="24"/>
      <w:u w:val="none"/>
      <w:shd w:val="nil" w:color="auto" w:fill="auto"/>
      <w:vertAlign w:val="baseline"/>
      <w:lang w:val="fr-FR"/>
      <w14:textOutline>
        <w14:noFill/>
      </w14:textOutline>
      <w14:textFill>
        <w14:solidFill>
          <w14:srgbClr w14:val="000000"/>
        </w14:solidFill>
      </w14:textFill>
    </w:rPr>
  </w:style>
  <w:style w:type="paragraph" w:styleId="Body 2">
    <w:name w:val="Body 2"/>
    <w:next w:val="Body 2"/>
    <w:pPr>
      <w:keepNext w:val="0"/>
      <w:keepLines w:val="0"/>
      <w:pageBreakBefore w:val="0"/>
      <w:widowControl w:val="1"/>
      <w:shd w:val="clear" w:color="auto" w:fill="auto"/>
      <w:suppressAutoHyphens w:val="0"/>
      <w:bidi w:val="0"/>
      <w:spacing w:before="0" w:after="0" w:line="288" w:lineRule="auto"/>
      <w:ind w:left="0" w:right="0" w:firstLine="48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7"/>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Big">
    <w:name w:val="Bullet Big"/>
    <w:pPr>
      <w:numPr>
        <w:numId w:val="1"/>
      </w:numPr>
    </w:pPr>
  </w:style>
  <w:style w:type="numbering" w:styleId="Bullet">
    <w:name w:val="Bullet"/>
    <w:pPr>
      <w:numPr>
        <w:numId w:val="3"/>
      </w:numPr>
    </w:pPr>
  </w:style>
  <w:style w:type="numbering" w:styleId="Numbered">
    <w:name w:val="Numbered"/>
    <w:pPr>
      <w:numPr>
        <w:numId w:val="6"/>
      </w:numPr>
    </w:pPr>
  </w:style>
  <w:style w:type="character" w:styleId="None">
    <w:name w:val="None"/>
  </w:style>
  <w:style w:type="character" w:styleId="Hyperlink.0">
    <w:name w:val="Hyperlink.0"/>
    <w:basedOn w:val="None"/>
    <w:next w:val="Hyperlink.0"/>
    <w:rPr>
      <w:outline w:val="0"/>
      <w:color w:val="0432ff"/>
      <w:u w:val="single"/>
      <w14:textFill>
        <w14:solidFill>
          <w14:srgbClr w14:val="0433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21_Simple_Report">
  <a:themeElements>
    <a:clrScheme name="21_Simple_Report">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Simple_Report">
      <a:majorFont>
        <a:latin typeface="Helvetica Neue"/>
        <a:ea typeface="Helvetica Neue"/>
        <a:cs typeface="Helvetica Neue"/>
      </a:majorFont>
      <a:minorFont>
        <a:latin typeface="Helvetica Neue"/>
        <a:ea typeface="Helvetica Neue"/>
        <a:cs typeface="Helvetica Neue"/>
      </a:minorFont>
    </a:fontScheme>
    <a:fmtScheme name="21_Simple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30000"/>
          </a:lnSpc>
          <a:spcBef>
            <a:spcPts val="1200"/>
          </a:spcBef>
          <a:spcAft>
            <a:spcPts val="0"/>
          </a:spcAft>
          <a:buClrTx/>
          <a:buSzTx/>
          <a:buFontTx/>
          <a:buNone/>
          <a:tabLst/>
          <a:defRPr b="0" baseline="0" cap="none" i="0" spc="36" strike="noStrike" sz="12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